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eastAsia="宋体"/>
          <w:b/>
          <w:sz w:val="28"/>
          <w:szCs w:val="28"/>
          <w:lang w:val="en-US" w:eastAsia="zh-CN"/>
        </w:rPr>
        <w:t>9</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R3-25</w:t>
      </w:r>
      <w:r>
        <w:rPr>
          <w:rFonts w:hint="eastAsia" w:eastAsia="宋体"/>
          <w:b/>
          <w:sz w:val="28"/>
          <w:szCs w:val="28"/>
          <w:lang w:val="en-US" w:eastAsia="zh-CN"/>
        </w:rPr>
        <w:t>xxxx</w:t>
      </w:r>
      <w:r>
        <w:rPr>
          <w:rFonts w:ascii="Times New Roman" w:hAnsi="Times New Roman" w:eastAsia="宋体"/>
          <w:b/>
          <w:sz w:val="28"/>
          <w:szCs w:val="28"/>
          <w:lang w:eastAsia="en-GB"/>
        </w:rPr>
        <w:t xml:space="preserve">   </w:t>
      </w:r>
    </w:p>
    <w:p>
      <w:pPr>
        <w:pStyle w:val="72"/>
        <w:rPr>
          <w:rFonts w:ascii="Times New Roman" w:hAnsi="Times New Roman" w:eastAsia="宋体" w:cs="Times New Roman"/>
          <w:b/>
          <w:sz w:val="28"/>
          <w:szCs w:val="28"/>
          <w:lang w:val="en-GB" w:eastAsia="en-GB" w:bidi="ar-SA"/>
        </w:rPr>
      </w:pPr>
      <w:r>
        <w:rPr>
          <w:rFonts w:ascii="Times New Roman" w:hAnsi="Times New Roman" w:eastAsia="宋体" w:cs="Times New Roman"/>
          <w:b/>
          <w:sz w:val="28"/>
          <w:szCs w:val="28"/>
          <w:lang w:val="en-GB" w:eastAsia="en-GB" w:bidi="ar-SA"/>
        </w:rPr>
        <w:t xml:space="preserve">25 – </w:t>
      </w:r>
      <w:r>
        <w:rPr>
          <w:rFonts w:hint="eastAsia" w:ascii="Times New Roman" w:hAnsi="Times New Roman" w:eastAsia="宋体" w:cs="Times New Roman"/>
          <w:b/>
          <w:sz w:val="28"/>
          <w:szCs w:val="28"/>
          <w:lang w:val="en-GB" w:eastAsia="en-GB" w:bidi="ar-SA"/>
        </w:rPr>
        <w:t>2</w:t>
      </w:r>
      <w:r>
        <w:rPr>
          <w:rFonts w:ascii="Times New Roman" w:hAnsi="Times New Roman" w:eastAsia="宋体" w:cs="Times New Roman"/>
          <w:b/>
          <w:sz w:val="28"/>
          <w:szCs w:val="28"/>
          <w:lang w:val="en-GB" w:eastAsia="en-GB" w:bidi="ar-SA"/>
        </w:rPr>
        <w:t xml:space="preserve">9 August </w:t>
      </w:r>
      <w:r>
        <w:rPr>
          <w:rFonts w:hint="eastAsia" w:ascii="Times New Roman" w:hAnsi="Times New Roman" w:eastAsia="宋体" w:cs="Times New Roman"/>
          <w:b/>
          <w:sz w:val="28"/>
          <w:szCs w:val="28"/>
          <w:lang w:val="en-US" w:eastAsia="zh-CN" w:bidi="ar-SA"/>
        </w:rPr>
        <w:t xml:space="preserve">2025   </w:t>
      </w:r>
      <w:r>
        <w:rPr>
          <w:rFonts w:ascii="Times New Roman" w:hAnsi="Times New Roman" w:eastAsia="宋体" w:cs="Times New Roman"/>
          <w:b/>
          <w:sz w:val="28"/>
          <w:szCs w:val="28"/>
          <w:lang w:val="en-GB" w:eastAsia="en-GB" w:bidi="ar-SA"/>
        </w:rPr>
        <w:t>Bengaluru, India</w:t>
      </w:r>
    </w:p>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6"/>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73"/>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73"/>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73"/>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73"/>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73"/>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6"/>
      </w:pPr>
      <w:r>
        <w:t>2</w:t>
      </w:r>
      <w:r>
        <w:tab/>
      </w:r>
      <w:r>
        <w:t>Discussion</w:t>
      </w:r>
    </w:p>
    <w:p>
      <w:pPr>
        <w:pStyle w:val="7"/>
      </w:pPr>
      <w:r>
        <w:t>2.1</w:t>
      </w:r>
      <w:r>
        <w:tab/>
      </w:r>
      <w:r>
        <w:t>LTM</w:t>
      </w:r>
    </w:p>
    <w:p>
      <w:pPr>
        <w:spacing w:after="0"/>
        <w:rPr>
          <w:sz w:val="22"/>
          <w:lang w:val="en-US" w:eastAsia="zh-CN"/>
        </w:rPr>
      </w:pPr>
    </w:p>
    <w:tbl>
      <w:tblPr>
        <w:tblStyle w:val="3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808" w:type="dxa"/>
            <w:vAlign w:val="center"/>
          </w:tcPr>
          <w:p>
            <w:pPr>
              <w:rPr>
                <w:rFonts w:cs="Calibri"/>
                <w:sz w:val="20"/>
                <w:szCs w:val="21"/>
                <w:u w:val="single"/>
                <w:lang w:eastAsia="en-US"/>
              </w:rPr>
            </w:pPr>
            <w:r>
              <w:rPr>
                <w:rFonts w:hint="eastAsia" w:cs="Calibri"/>
                <w:sz w:val="20"/>
                <w:szCs w:val="21"/>
                <w:u w:val="single"/>
                <w:lang w:val="en-US" w:eastAsia="zh-CN"/>
              </w:rPr>
              <w:t>U</w:t>
            </w:r>
            <w:r>
              <w:rPr>
                <w:rFonts w:cs="Calibri"/>
                <w:sz w:val="20"/>
                <w:szCs w:val="21"/>
                <w:u w:val="single"/>
                <w:lang w:eastAsia="en-US"/>
              </w:rPr>
              <w:t xml:space="preserve">HI and ping-pong </w:t>
            </w:r>
            <w:r>
              <w:rPr>
                <w:rFonts w:hint="eastAsia" w:cs="Calibri"/>
                <w:sz w:val="20"/>
                <w:szCs w:val="21"/>
                <w:u w:val="single"/>
                <w:lang w:eastAsia="en-US"/>
              </w:rPr>
              <w:t>issue</w:t>
            </w:r>
          </w:p>
          <w:p>
            <w:pPr>
              <w:widowControl w:val="0"/>
              <w:spacing w:before="0" w:beforeAutospacing="0" w:after="60"/>
              <w:ind w:left="144" w:hanging="144"/>
              <w:rPr>
                <w:rFonts w:eastAsia="MS Mincho" w:cs="Calibri"/>
                <w:i/>
                <w:iCs/>
                <w:color w:val="00B050"/>
                <w:kern w:val="2"/>
                <w:sz w:val="16"/>
                <w:szCs w:val="16"/>
              </w:rPr>
            </w:pPr>
            <w:r>
              <w:rPr>
                <w:rFonts w:eastAsia="MS Mincho" w:cs="Calibri"/>
                <w:i/>
                <w:iCs/>
                <w:color w:val="00B050"/>
                <w:kern w:val="2"/>
                <w:sz w:val="16"/>
                <w:szCs w:val="16"/>
              </w:rPr>
              <w:t>CU informs relevant information to the target DU via CU-DU Cell Switch Notification.</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Down selection of following solutions:</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1a: CU provide full UHI list with L1/L3 type to the DU (maximum item number is 16).</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 xml:space="preserve">1b: CU provide full UHI list (except PScell) with L1/L3 type to the DU (maximum item number is 16). </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 xml:space="preserve">2a: CU provide last consecutive L1 entries to the DU. </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2b: CU provide FFS number of last consecutive L1 entries to the DU.</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No stage2, work in stage3 with 1a.</w:t>
            </w:r>
          </w:p>
          <w:p>
            <w:pPr>
              <w:widowControl w:val="0"/>
              <w:spacing w:before="0" w:beforeAutospacing="0" w:after="60"/>
              <w:ind w:left="144" w:hanging="144"/>
              <w:rPr>
                <w:rFonts w:eastAsia="MS Mincho" w:cs="Calibri"/>
                <w:i/>
                <w:iCs/>
                <w:color w:val="0070C0"/>
                <w:kern w:val="2"/>
                <w:sz w:val="16"/>
                <w:szCs w:val="16"/>
              </w:rPr>
            </w:pPr>
            <w:r>
              <w:rPr>
                <w:rFonts w:eastAsia="MS Mincho" w:cs="Calibri"/>
                <w:i/>
                <w:iCs/>
                <w:color w:val="0070C0"/>
                <w:kern w:val="2"/>
                <w:sz w:val="16"/>
                <w:szCs w:val="16"/>
              </w:rPr>
              <w:t xml:space="preserve">If the above 1a information is included in F1AP message from CU to DU, the DU may consider the potential mobility issue detected including ping-pong. </w:t>
            </w:r>
          </w:p>
          <w:p>
            <w:pPr>
              <w:widowControl w:val="0"/>
              <w:spacing w:before="0" w:beforeAutospacing="0" w:after="60"/>
              <w:ind w:left="144" w:hanging="144"/>
              <w:rPr>
                <w:rFonts w:hint="default" w:ascii="Calibri" w:hAnsi="Calibri" w:eastAsia="宋体" w:cs="Calibri"/>
                <w:i/>
                <w:color w:val="FF0000"/>
                <w:kern w:val="2"/>
                <w:sz w:val="16"/>
                <w:szCs w:val="16"/>
                <w:lang w:val="en-US" w:eastAsia="zh-CN"/>
              </w:rPr>
            </w:pPr>
            <w:r>
              <w:rPr>
                <w:rFonts w:eastAsia="MS Mincho" w:cs="Calibri"/>
                <w:i/>
                <w:iCs/>
                <w:color w:val="0070C0"/>
                <w:kern w:val="2"/>
                <w:sz w:val="16"/>
                <w:szCs w:val="16"/>
              </w:rPr>
              <w:t>FFS on the extra indication for ping-pong case.</w:t>
            </w:r>
          </w:p>
        </w:tc>
      </w:tr>
    </w:tbl>
    <w:p>
      <w:pPr>
        <w:tabs>
          <w:tab w:val="left" w:pos="420"/>
          <w:tab w:val="left" w:pos="1619"/>
        </w:tabs>
        <w:spacing w:before="60"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8 meeting,</w:t>
      </w:r>
      <w:r>
        <w:rPr>
          <w:sz w:val="22"/>
          <w:lang w:val="en-US" w:eastAsia="zh-CN"/>
        </w:rPr>
        <w:t xml:space="preserve"> we have been made above agreements</w:t>
      </w:r>
      <w:r>
        <w:rPr>
          <w:rFonts w:hint="eastAsia"/>
          <w:sz w:val="22"/>
          <w:lang w:val="en-US" w:eastAsia="zh-CN"/>
        </w:rPr>
        <w:t xml:space="preserve"> and discussed LTM ping-pong avoidance issue with potential solutions to be down selected. </w:t>
      </w:r>
    </w:p>
    <w:p>
      <w:pPr>
        <w:tabs>
          <w:tab w:val="left" w:pos="420"/>
          <w:tab w:val="left" w:pos="1619"/>
        </w:tabs>
        <w:spacing w:before="60" w:after="0"/>
        <w:rPr>
          <w:rFonts w:hint="default"/>
          <w:sz w:val="22"/>
          <w:lang w:val="en-US" w:eastAsia="zh-CN"/>
        </w:rPr>
      </w:pPr>
      <w:r>
        <w:rPr>
          <w:rFonts w:hint="eastAsia"/>
          <w:sz w:val="22"/>
          <w:lang w:val="en-US" w:eastAsia="zh-CN"/>
        </w:rPr>
        <w:t>As CU is the node to detect the ping pong issue, DU should be provided with only useful information to analyse the issue. L3 info should be included in the UHI list when L1-L3-L1 combined handover occurs.</w:t>
      </w:r>
    </w:p>
    <w:p>
      <w:pPr>
        <w:tabs>
          <w:tab w:val="left" w:pos="420"/>
          <w:tab w:val="left" w:pos="1619"/>
        </w:tabs>
        <w:spacing w:before="60" w:after="0"/>
        <w:rPr>
          <w:rFonts w:hint="eastAsia"/>
          <w:sz w:val="22"/>
          <w:lang w:val="en-US" w:eastAsia="zh-CN"/>
        </w:rPr>
      </w:pPr>
      <w:r>
        <w:rPr>
          <w:rFonts w:hint="eastAsia"/>
          <w:sz w:val="22"/>
          <w:lang w:val="en-US" w:eastAsia="zh-CN"/>
        </w:rPr>
        <w:t xml:space="preserve">PScell information can be removed irrelevant to DU. DU may be provided the UHI list when CU detects the ping-pong issue, then DU can perform the corresponding analysis. </w:t>
      </w:r>
    </w:p>
    <w:p>
      <w:pPr>
        <w:tabs>
          <w:tab w:val="left" w:pos="420"/>
          <w:tab w:val="left" w:pos="1619"/>
        </w:tabs>
        <w:spacing w:before="60" w:after="0"/>
        <w:rPr>
          <w:rFonts w:hint="eastAsia"/>
          <w:sz w:val="22"/>
          <w:lang w:val="en-US" w:eastAsia="zh-CN"/>
        </w:rPr>
      </w:pPr>
      <w:r>
        <w:rPr>
          <w:rFonts w:hint="eastAsia"/>
          <w:sz w:val="22"/>
          <w:lang w:val="en-US" w:eastAsia="zh-CN"/>
        </w:rPr>
        <w:t>Regarding other information provided to DU for other mobility event, the benefit should be further clarified.</w:t>
      </w:r>
    </w:p>
    <w:p>
      <w:pPr>
        <w:tabs>
          <w:tab w:val="left" w:pos="420"/>
          <w:tab w:val="left" w:pos="1619"/>
        </w:tabs>
        <w:spacing w:before="60" w:after="0"/>
        <w:rPr>
          <w:rFonts w:hint="eastAsia"/>
          <w:sz w:val="22"/>
          <w:lang w:val="en-US" w:eastAsia="zh-CN"/>
        </w:rPr>
      </w:pP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CU provide full UHI list (except PScell) with L1/L3 type to the DU when ping-pong issue detected</w:t>
      </w:r>
      <w:r>
        <w:rPr>
          <w:rFonts w:hint="eastAsia" w:eastAsia="等线"/>
          <w:b/>
          <w:bCs/>
          <w:sz w:val="24"/>
          <w:szCs w:val="24"/>
          <w:lang w:val="en-US" w:eastAsia="zh-CN"/>
        </w:rPr>
        <w:t>.</w:t>
      </w:r>
      <w:bookmarkStart w:id="4" w:name="_GoBack"/>
      <w:bookmarkEnd w:id="4"/>
    </w:p>
    <w:p>
      <w:pPr>
        <w:pStyle w:val="24"/>
        <w:rPr>
          <w:rFonts w:hint="eastAsia" w:eastAsia="等线"/>
          <w:b/>
          <w:bCs/>
          <w:sz w:val="24"/>
          <w:szCs w:val="24"/>
          <w:lang w:val="en-US" w:eastAsia="zh-CN"/>
        </w:rPr>
      </w:pPr>
    </w:p>
    <w:p>
      <w:pPr>
        <w:spacing w:before="0" w:beforeAutospacing="0" w:after="60"/>
        <w:textAlignment w:val="center"/>
        <w:rPr>
          <w:rFonts w:eastAsia="MS Mincho" w:cs="Calibri"/>
          <w:i/>
          <w:iCs/>
          <w:color w:val="auto"/>
          <w:kern w:val="2"/>
          <w:sz w:val="16"/>
          <w:szCs w:val="16"/>
          <w:u w:val="single"/>
        </w:rPr>
      </w:pPr>
      <w:r>
        <w:rPr>
          <w:rFonts w:eastAsia="MS Mincho" w:cs="Calibri"/>
          <w:i/>
          <w:iCs/>
          <w:color w:val="auto"/>
          <w:kern w:val="2"/>
          <w:sz w:val="16"/>
          <w:szCs w:val="16"/>
          <w:u w:val="single"/>
        </w:rPr>
        <w:t>BFR shortly after successful LTM cell switch to the wrong beam (Case 1):</w:t>
      </w:r>
    </w:p>
    <w:p>
      <w:p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Use DU-CU ACCESS AND MOBILITY INDICATION message for target DU send recovery beam information to the CU. Only one recovery beam information included.</w:t>
      </w:r>
    </w:p>
    <w:p>
      <w:p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Additional Information with recovery beam information from target DU to CU:</w:t>
      </w:r>
    </w:p>
    <w:p>
      <w:pPr>
        <w:numPr>
          <w:ilvl w:val="0"/>
          <w:numId w:val="6"/>
        </w:num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CU UE F1AP ID</w:t>
      </w:r>
    </w:p>
    <w:p>
      <w:pPr>
        <w:numPr>
          <w:ilvl w:val="0"/>
          <w:numId w:val="6"/>
        </w:num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Failure type (for case 1, case 2) in an implicit way or explicit way</w:t>
      </w:r>
    </w:p>
    <w:p>
      <w:pPr>
        <w:numPr>
          <w:ilvl w:val="0"/>
          <w:numId w:val="6"/>
        </w:numPr>
        <w:spacing w:before="0" w:beforeAutospacing="0" w:after="60"/>
        <w:rPr>
          <w:rFonts w:eastAsia="MS Mincho" w:cs="Calibri"/>
          <w:i/>
          <w:iCs/>
          <w:color w:val="0070C0"/>
          <w:kern w:val="2"/>
          <w:sz w:val="16"/>
          <w:szCs w:val="16"/>
        </w:rPr>
      </w:pPr>
      <w:r>
        <w:rPr>
          <w:rFonts w:eastAsia="MS Mincho" w:cs="Calibri"/>
          <w:i/>
          <w:iCs/>
          <w:color w:val="0070C0"/>
          <w:kern w:val="2"/>
          <w:sz w:val="16"/>
          <w:szCs w:val="16"/>
        </w:rPr>
        <w:t>beam failure indicator in an implicit way or explicit way</w:t>
      </w:r>
    </w:p>
    <w:p>
      <w:pPr>
        <w:spacing w:before="0" w:beforeAutospacing="0" w:after="60"/>
        <w:rPr>
          <w:rFonts w:eastAsia="MS Mincho" w:cs="Calibri"/>
          <w:i/>
          <w:iCs/>
          <w:color w:val="00B050"/>
          <w:kern w:val="2"/>
          <w:sz w:val="16"/>
          <w:szCs w:val="16"/>
        </w:rPr>
      </w:pPr>
      <w:r>
        <w:rPr>
          <w:rFonts w:eastAsia="MS Mincho" w:cs="Calibri"/>
          <w:i/>
          <w:iCs/>
          <w:color w:val="00B050"/>
          <w:kern w:val="2"/>
          <w:sz w:val="16"/>
          <w:szCs w:val="16"/>
        </w:rPr>
        <w:t>Use ACCESS AND MOBILITY INDICATION message for CU forward recovery beam information to the source DU. Only one recovery beam information included.</w:t>
      </w:r>
    </w:p>
    <w:p>
      <w:pPr>
        <w:pStyle w:val="24"/>
        <w:spacing w:beforeAutospacing="0" w:after="6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Additional Information with recovery beam information from target CU to DU:</w:t>
      </w:r>
    </w:p>
    <w:p>
      <w:pPr>
        <w:pStyle w:val="24"/>
        <w:numPr>
          <w:ilvl w:val="0"/>
          <w:numId w:val="7"/>
        </w:numPr>
        <w:spacing w:beforeAutospacing="0" w:after="6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Source DU UE F1AP ID</w:t>
      </w:r>
    </w:p>
    <w:p>
      <w:pPr>
        <w:pStyle w:val="24"/>
        <w:numPr>
          <w:ilvl w:val="0"/>
          <w:numId w:val="7"/>
        </w:numPr>
        <w:spacing w:beforeAutospacing="0" w:after="60"/>
        <w:rPr>
          <w:rFonts w:ascii="Calibri" w:hAnsi="Calibri" w:eastAsia="MS Mincho" w:cs="Calibri"/>
          <w:i/>
          <w:iCs/>
          <w:color w:val="0070C0"/>
          <w:kern w:val="2"/>
          <w:sz w:val="16"/>
          <w:szCs w:val="16"/>
          <w:lang w:val="en-US"/>
        </w:rPr>
      </w:pPr>
      <w:r>
        <w:rPr>
          <w:rFonts w:ascii="Calibri" w:hAnsi="Calibri" w:eastAsia="MS Mincho" w:cs="Calibri"/>
          <w:i/>
          <w:iCs/>
          <w:color w:val="0070C0"/>
          <w:kern w:val="2"/>
          <w:sz w:val="16"/>
          <w:szCs w:val="16"/>
          <w:lang w:val="en-US"/>
        </w:rPr>
        <w:t>Failure type (for case 1, case 2) in an implicit way or explicit way</w:t>
      </w:r>
    </w:p>
    <w:p>
      <w:pPr>
        <w:pStyle w:val="24"/>
        <w:numPr>
          <w:ilvl w:val="0"/>
          <w:numId w:val="7"/>
        </w:numPr>
        <w:spacing w:beforeAutospacing="0" w:after="60"/>
        <w:rPr>
          <w:rFonts w:ascii="Calibri" w:hAnsi="Calibri" w:eastAsia="MS Mincho" w:cs="Calibri"/>
          <w:i/>
          <w:iCs/>
          <w:color w:val="0070C0"/>
          <w:kern w:val="2"/>
          <w:sz w:val="16"/>
          <w:szCs w:val="16"/>
          <w:lang w:val="en-US"/>
        </w:rPr>
      </w:pPr>
      <w:r>
        <w:rPr>
          <w:rFonts w:ascii="Calibri" w:hAnsi="Calibri" w:eastAsia="MS Mincho" w:cs="Calibri"/>
          <w:i/>
          <w:iCs/>
          <w:color w:val="0070C0"/>
          <w:kern w:val="2"/>
          <w:sz w:val="16"/>
          <w:szCs w:val="16"/>
          <w:lang w:val="en-US"/>
        </w:rPr>
        <w:t>beam failure indicator in an implicit way or explicit way</w:t>
      </w:r>
    </w:p>
    <w:p>
      <w:pPr>
        <w:pStyle w:val="24"/>
        <w:spacing w:beforeAutospacing="0" w:after="6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No new failure type for beam failure recovery is needed for TS38.300.</w:t>
      </w:r>
    </w:p>
    <w:p>
      <w:pPr>
        <w:pStyle w:val="24"/>
        <w:spacing w:beforeAutospacing="0" w:after="6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The Timer configured in DU (e.g., Tstore_UE_cntxt) used for the DU to detect BFR shortly after successful LTM cell switch to the wrong beam is up to implementation.</w:t>
      </w:r>
    </w:p>
    <w:p>
      <w:pPr>
        <w:pStyle w:val="24"/>
        <w:rPr>
          <w:rFonts w:hint="eastAsia" w:eastAsia="等线"/>
          <w:b/>
          <w:bCs/>
          <w:sz w:val="24"/>
          <w:szCs w:val="24"/>
          <w:lang w:val="en-US" w:eastAsia="zh-CN"/>
        </w:rPr>
      </w:pPr>
    </w:p>
    <w:p>
      <w:pPr>
        <w:pStyle w:val="24"/>
        <w:rPr>
          <w:rFonts w:hint="eastAsia" w:eastAsia="等线"/>
          <w:b w:val="0"/>
          <w:bCs w:val="0"/>
          <w:sz w:val="24"/>
          <w:szCs w:val="24"/>
          <w:lang w:val="en-US" w:eastAsia="zh-CN"/>
        </w:rPr>
      </w:pPr>
      <w:r>
        <w:rPr>
          <w:rFonts w:hint="eastAsia" w:eastAsia="等线"/>
          <w:b w:val="0"/>
          <w:bCs w:val="0"/>
          <w:sz w:val="24"/>
          <w:szCs w:val="24"/>
          <w:lang w:val="en-US" w:eastAsia="zh-CN"/>
        </w:rPr>
        <w:t>Regarding the outdated TA issue, t</w:t>
      </w:r>
      <w:r>
        <w:rPr>
          <w:rFonts w:hint="default" w:eastAsia="等线"/>
          <w:b w:val="0"/>
          <w:bCs w:val="0"/>
          <w:sz w:val="24"/>
          <w:szCs w:val="24"/>
          <w:lang w:val="en-US" w:eastAsia="zh-CN"/>
        </w:rPr>
        <w:t xml:space="preserve">arget DU </w:t>
      </w:r>
      <w:r>
        <w:rPr>
          <w:rFonts w:hint="eastAsia" w:eastAsia="等线"/>
          <w:b w:val="0"/>
          <w:bCs w:val="0"/>
          <w:sz w:val="24"/>
          <w:szCs w:val="24"/>
          <w:lang w:val="en-US" w:eastAsia="zh-CN"/>
        </w:rPr>
        <w:t xml:space="preserve">can </w:t>
      </w:r>
      <w:r>
        <w:rPr>
          <w:rFonts w:hint="default" w:eastAsia="等线"/>
          <w:b w:val="0"/>
          <w:bCs w:val="0"/>
          <w:sz w:val="24"/>
          <w:szCs w:val="24"/>
          <w:lang w:val="en-US" w:eastAsia="zh-CN"/>
        </w:rPr>
        <w:t>send the TA information</w:t>
      </w:r>
      <w:r>
        <w:rPr>
          <w:rFonts w:hint="eastAsia" w:eastAsia="等线"/>
          <w:b w:val="0"/>
          <w:bCs w:val="0"/>
          <w:sz w:val="24"/>
          <w:szCs w:val="24"/>
          <w:lang w:val="en-US" w:eastAsia="zh-CN"/>
        </w:rPr>
        <w:t xml:space="preserve"> used</w:t>
      </w:r>
      <w:r>
        <w:rPr>
          <w:rFonts w:hint="default" w:eastAsia="等线"/>
          <w:b w:val="0"/>
          <w:bCs w:val="0"/>
          <w:sz w:val="24"/>
          <w:szCs w:val="24"/>
          <w:lang w:val="en-US" w:eastAsia="zh-CN"/>
        </w:rPr>
        <w:t xml:space="preserve"> to CU and CU forwards it to source DU</w:t>
      </w:r>
      <w:r>
        <w:rPr>
          <w:rFonts w:hint="eastAsia" w:eastAsia="等线"/>
          <w:b w:val="0"/>
          <w:bCs w:val="0"/>
          <w:sz w:val="24"/>
          <w:szCs w:val="24"/>
          <w:lang w:val="en-US" w:eastAsia="zh-CN"/>
        </w:rPr>
        <w:t>, then source DU can do analyse with the used TA information comparing its own configuration to identify the outdated TA issue.</w:t>
      </w:r>
    </w:p>
    <w:p>
      <w:pPr>
        <w:pStyle w:val="24"/>
        <w:rPr>
          <w:rFonts w:hint="eastAsia" w:eastAsia="等线"/>
          <w:b w:val="0"/>
          <w:bCs w:val="0"/>
          <w:sz w:val="24"/>
          <w:szCs w:val="24"/>
          <w:lang w:val="en-US" w:eastAsia="zh-CN"/>
        </w:rPr>
      </w:pPr>
    </w:p>
    <w:p>
      <w:pPr>
        <w:pStyle w:val="24"/>
        <w:rPr>
          <w:rFonts w:hint="default" w:eastAsia="等线"/>
          <w:b w:val="0"/>
          <w:bCs w:val="0"/>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Target DU can send the TA information used to CU and CU forwards it to source DU.</w:t>
      </w:r>
    </w:p>
    <w:p>
      <w:pPr>
        <w:pStyle w:val="24"/>
        <w:rPr>
          <w:rFonts w:hint="default" w:eastAsia="等线"/>
          <w:b w:val="0"/>
          <w:bCs w:val="0"/>
          <w:sz w:val="24"/>
          <w:szCs w:val="24"/>
          <w:lang w:val="en-US" w:eastAsia="zh-CN"/>
        </w:rPr>
      </w:pPr>
      <w:r>
        <w:rPr>
          <w:rFonts w:hint="default" w:eastAsia="等线"/>
          <w:b w:val="0"/>
          <w:bCs w:val="0"/>
          <w:sz w:val="24"/>
          <w:szCs w:val="24"/>
          <w:lang w:val="en-US" w:eastAsia="zh-CN"/>
        </w:rPr>
        <w:t xml:space="preserve"> </w:t>
      </w:r>
    </w:p>
    <w:p>
      <w:pPr>
        <w:pStyle w:val="24"/>
        <w:rPr>
          <w:rFonts w:hint="eastAsia" w:eastAsia="等线"/>
          <w:b/>
          <w:bCs/>
          <w:sz w:val="24"/>
          <w:szCs w:val="24"/>
          <w:lang w:val="en-US" w:eastAsia="zh-CN"/>
        </w:rPr>
      </w:pPr>
    </w:p>
    <w:p>
      <w:pPr>
        <w:spacing w:after="0"/>
        <w:rPr>
          <w:rFonts w:cs="Arial"/>
          <w:lang w:eastAsia="zh-CN"/>
        </w:rPr>
      </w:pPr>
    </w:p>
    <w:p>
      <w:pPr>
        <w:spacing w:after="0"/>
        <w:rPr>
          <w:sz w:val="22"/>
        </w:rPr>
      </w:pPr>
    </w:p>
    <w:p>
      <w:pPr>
        <w:rPr>
          <w:rFonts w:hint="default" w:eastAsia="宋体"/>
          <w:sz w:val="21"/>
          <w:szCs w:val="21"/>
          <w:lang w:val="en-US" w:eastAsia="zh-CN"/>
        </w:rPr>
      </w:pPr>
    </w:p>
    <w:p>
      <w:pPr>
        <w:spacing w:after="0"/>
        <w:jc w:val="both"/>
        <w:rPr>
          <w:lang w:eastAsia="zh-CN"/>
        </w:rPr>
      </w:pPr>
    </w:p>
    <w:p>
      <w:pPr>
        <w:pStyle w:val="6"/>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rPr>
          <w:rFonts w:hint="eastAsia" w:eastAsia="等线"/>
          <w:b/>
          <w:bCs/>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CU provide full UHI list (except PScell) with L1/L3 type to the DU when ping-pong issue detected</w:t>
      </w:r>
      <w:r>
        <w:rPr>
          <w:rFonts w:hint="eastAsia" w:eastAsia="等线"/>
          <w:b/>
          <w:bCs/>
          <w:sz w:val="24"/>
          <w:szCs w:val="24"/>
          <w:lang w:val="en-US" w:eastAsia="zh-CN"/>
        </w:rPr>
        <w:t>.</w:t>
      </w:r>
    </w:p>
    <w:p>
      <w:pPr>
        <w:pStyle w:val="24"/>
        <w:rPr>
          <w:rFonts w:hint="default" w:eastAsia="等线"/>
          <w:b w:val="0"/>
          <w:bCs w:val="0"/>
          <w:sz w:val="24"/>
          <w:szCs w:val="24"/>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Target DU can send the TA information used to CU and CU forwards it to source DU.</w:t>
      </w:r>
    </w:p>
    <w:p>
      <w:pPr>
        <w:rPr>
          <w:rFonts w:hint="eastAsia" w:eastAsia="等线"/>
          <w:b/>
          <w:bCs/>
          <w:sz w:val="22"/>
          <w:szCs w:val="22"/>
          <w:lang w:val="en-US" w:eastAsia="zh-CN"/>
        </w:rPr>
      </w:pPr>
    </w:p>
    <w:p>
      <w:pPr>
        <w:spacing w:before="240" w:beforeLines="100" w:after="240"/>
        <w:rPr>
          <w:rFonts w:eastAsia="宋体"/>
          <w:b/>
          <w:lang w:eastAsia="zh-CN"/>
        </w:rPr>
      </w:pPr>
    </w:p>
    <w:p>
      <w:pPr>
        <w:pStyle w:val="6"/>
      </w:pPr>
      <w:r>
        <w:t>4   References</w:t>
      </w:r>
    </w:p>
    <w:p>
      <w:pPr>
        <w:pStyle w:val="73"/>
        <w:widowControl w:val="0"/>
        <w:numPr>
          <w:ilvl w:val="0"/>
          <w:numId w:val="8"/>
        </w:numPr>
        <w:autoSpaceDE w:val="0"/>
        <w:autoSpaceDN w:val="0"/>
        <w:adjustRightInd w:val="0"/>
        <w:spacing w:after="0" w:line="360" w:lineRule="auto"/>
        <w:contextualSpacing w:val="0"/>
        <w:rPr>
          <w:lang w:val="en-US" w:eastAsia="zh-CN"/>
        </w:rPr>
      </w:pPr>
      <w:bookmarkStart w:id="3"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3"/>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4370E8"/>
    <w:multiLevelType w:val="multilevel"/>
    <w:tmpl w:val="1C4370E8"/>
    <w:lvl w:ilvl="0" w:tentative="0">
      <w:start w:val="0"/>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7BD1D95"/>
    <w:multiLevelType w:val="multilevel"/>
    <w:tmpl w:val="37BD1D95"/>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6">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6"/>
  </w:num>
  <w:num w:numId="2">
    <w:abstractNumId w:val="4"/>
  </w:num>
  <w:num w:numId="3">
    <w:abstractNumId w:val="3"/>
  </w:num>
  <w:num w:numId="4">
    <w:abstractNumId w:val="5"/>
  </w:num>
  <w:num w:numId="5">
    <w:abstractNumId w:val="7"/>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1590127"/>
    <w:rsid w:val="01F84782"/>
    <w:rsid w:val="02DB5880"/>
    <w:rsid w:val="03425F66"/>
    <w:rsid w:val="04C95396"/>
    <w:rsid w:val="059D0A04"/>
    <w:rsid w:val="0747198E"/>
    <w:rsid w:val="079072D0"/>
    <w:rsid w:val="083F3E39"/>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FF51A9"/>
    <w:rsid w:val="1D093E8E"/>
    <w:rsid w:val="1D9D1C14"/>
    <w:rsid w:val="1DEF3CAD"/>
    <w:rsid w:val="1E0E6FDF"/>
    <w:rsid w:val="1E37416A"/>
    <w:rsid w:val="1E7A730A"/>
    <w:rsid w:val="1F457054"/>
    <w:rsid w:val="1F8B2051"/>
    <w:rsid w:val="2044198C"/>
    <w:rsid w:val="206E0E34"/>
    <w:rsid w:val="20762ED5"/>
    <w:rsid w:val="207E4B10"/>
    <w:rsid w:val="20CD4DF2"/>
    <w:rsid w:val="21B26577"/>
    <w:rsid w:val="2294325D"/>
    <w:rsid w:val="22CB4428"/>
    <w:rsid w:val="230332E7"/>
    <w:rsid w:val="24BA1A4C"/>
    <w:rsid w:val="2573337B"/>
    <w:rsid w:val="258A1B50"/>
    <w:rsid w:val="26781317"/>
    <w:rsid w:val="27B91DCD"/>
    <w:rsid w:val="28B873D0"/>
    <w:rsid w:val="28DD71F9"/>
    <w:rsid w:val="29B22406"/>
    <w:rsid w:val="2A332049"/>
    <w:rsid w:val="2A8932B0"/>
    <w:rsid w:val="2AC56CA8"/>
    <w:rsid w:val="2B6D7ACB"/>
    <w:rsid w:val="2C197798"/>
    <w:rsid w:val="2C523826"/>
    <w:rsid w:val="2C7E592F"/>
    <w:rsid w:val="2D8B7035"/>
    <w:rsid w:val="2FF07BC8"/>
    <w:rsid w:val="3122543A"/>
    <w:rsid w:val="32204723"/>
    <w:rsid w:val="33511F0D"/>
    <w:rsid w:val="335A38EA"/>
    <w:rsid w:val="35AC3967"/>
    <w:rsid w:val="35E368FD"/>
    <w:rsid w:val="3665586F"/>
    <w:rsid w:val="382B160E"/>
    <w:rsid w:val="39FC7F63"/>
    <w:rsid w:val="3A510DE7"/>
    <w:rsid w:val="3B1C15B4"/>
    <w:rsid w:val="3B7522D1"/>
    <w:rsid w:val="3CC94D80"/>
    <w:rsid w:val="3E04574F"/>
    <w:rsid w:val="3E902592"/>
    <w:rsid w:val="3EBF38CA"/>
    <w:rsid w:val="3EFA6A59"/>
    <w:rsid w:val="3F102102"/>
    <w:rsid w:val="40ED17D5"/>
    <w:rsid w:val="41133AB4"/>
    <w:rsid w:val="41B23B2A"/>
    <w:rsid w:val="425659E6"/>
    <w:rsid w:val="42681DC2"/>
    <w:rsid w:val="429B4810"/>
    <w:rsid w:val="439A14F5"/>
    <w:rsid w:val="43AF1E2E"/>
    <w:rsid w:val="454B01DC"/>
    <w:rsid w:val="466F7668"/>
    <w:rsid w:val="4B2F5149"/>
    <w:rsid w:val="4B4177FD"/>
    <w:rsid w:val="4C6946B6"/>
    <w:rsid w:val="4C7401D0"/>
    <w:rsid w:val="4D077EEE"/>
    <w:rsid w:val="4E631DD7"/>
    <w:rsid w:val="4EE12FB5"/>
    <w:rsid w:val="4EEB36F7"/>
    <w:rsid w:val="4FAE5593"/>
    <w:rsid w:val="506A7F16"/>
    <w:rsid w:val="50791A93"/>
    <w:rsid w:val="51C61026"/>
    <w:rsid w:val="53063320"/>
    <w:rsid w:val="55403862"/>
    <w:rsid w:val="56057C64"/>
    <w:rsid w:val="56444AC6"/>
    <w:rsid w:val="567B29ED"/>
    <w:rsid w:val="573F71C2"/>
    <w:rsid w:val="57F24B59"/>
    <w:rsid w:val="5A713592"/>
    <w:rsid w:val="5AD325FC"/>
    <w:rsid w:val="5C9B2EC8"/>
    <w:rsid w:val="5CBF7B5D"/>
    <w:rsid w:val="5DEB4069"/>
    <w:rsid w:val="5DF47CB1"/>
    <w:rsid w:val="607F29C9"/>
    <w:rsid w:val="614A0049"/>
    <w:rsid w:val="63114608"/>
    <w:rsid w:val="633140F4"/>
    <w:rsid w:val="640D40B4"/>
    <w:rsid w:val="642B6952"/>
    <w:rsid w:val="648E266A"/>
    <w:rsid w:val="649B678A"/>
    <w:rsid w:val="64C322D9"/>
    <w:rsid w:val="681B58B5"/>
    <w:rsid w:val="68E378EE"/>
    <w:rsid w:val="6A7B5019"/>
    <w:rsid w:val="6BEC00A0"/>
    <w:rsid w:val="6D1F4A0B"/>
    <w:rsid w:val="6D7D559C"/>
    <w:rsid w:val="6E4377B3"/>
    <w:rsid w:val="6E8B01B0"/>
    <w:rsid w:val="6F686D97"/>
    <w:rsid w:val="6FDC338C"/>
    <w:rsid w:val="707B5B04"/>
    <w:rsid w:val="71657AF4"/>
    <w:rsid w:val="7232223C"/>
    <w:rsid w:val="72394C9A"/>
    <w:rsid w:val="74144EAD"/>
    <w:rsid w:val="742B5F4A"/>
    <w:rsid w:val="74BE1A94"/>
    <w:rsid w:val="77097545"/>
    <w:rsid w:val="772A053C"/>
    <w:rsid w:val="77585FE5"/>
    <w:rsid w:val="77C656C3"/>
    <w:rsid w:val="77F178AE"/>
    <w:rsid w:val="7833619E"/>
    <w:rsid w:val="785C0605"/>
    <w:rsid w:val="7905736E"/>
    <w:rsid w:val="790836EE"/>
    <w:rsid w:val="791252B1"/>
    <w:rsid w:val="7A5614FA"/>
    <w:rsid w:val="7C8D5A29"/>
    <w:rsid w:val="7D442761"/>
    <w:rsid w:val="7D7C001B"/>
    <w:rsid w:val="7DA237BE"/>
    <w:rsid w:val="7DB262BC"/>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6">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qFormat/>
    <w:uiPriority w:val="0"/>
    <w:pPr>
      <w:spacing w:before="120"/>
      <w:outlineLvl w:val="2"/>
    </w:pPr>
    <w:rPr>
      <w:sz w:val="28"/>
    </w:rPr>
  </w:style>
  <w:style w:type="paragraph" w:styleId="9">
    <w:name w:val="heading 4"/>
    <w:basedOn w:val="8"/>
    <w:next w:val="1"/>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pPr>
      <w:ind w:left="1135" w:hanging="284"/>
    </w:p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5">
    <w:name w:val="toc 8"/>
    <w:basedOn w:val="22"/>
    <w:next w:val="1"/>
    <w:semiHidden/>
    <w:qFormat/>
    <w:uiPriority w:val="0"/>
    <w:pPr>
      <w:spacing w:before="180"/>
      <w:ind w:left="2693" w:hanging="2693"/>
    </w:pPr>
    <w:rPr>
      <w:b/>
    </w:rPr>
  </w:style>
  <w:style w:type="paragraph" w:styleId="26">
    <w:name w:val="Balloon Text"/>
    <w:basedOn w:val="1"/>
    <w:link w:val="74"/>
    <w:semiHidden/>
    <w:unhideWhenUsed/>
    <w:qFormat/>
    <w:uiPriority w:val="0"/>
    <w:pPr>
      <w:spacing w:after="0"/>
    </w:pPr>
    <w:rPr>
      <w:rFonts w:ascii="Segoe UI" w:hAnsi="Segoe UI" w:cs="Segoe UI"/>
      <w:sz w:val="18"/>
      <w:szCs w:val="18"/>
    </w:rPr>
  </w:style>
  <w:style w:type="paragraph" w:styleId="27">
    <w:name w:val="footer"/>
    <w:basedOn w:val="28"/>
    <w:qFormat/>
    <w:uiPriority w:val="0"/>
    <w:pPr>
      <w:jc w:val="center"/>
    </w:pPr>
    <w:rPr>
      <w:i/>
    </w:rPr>
  </w:style>
  <w:style w:type="paragraph" w:styleId="28">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annotation subject"/>
    <w:basedOn w:val="23"/>
    <w:next w:val="23"/>
    <w:link w:val="89"/>
    <w:semiHidden/>
    <w:unhideWhenUsed/>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6"/>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8"/>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6"/>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4"/>
    <w:link w:val="23"/>
    <w:qFormat/>
    <w:uiPriority w:val="0"/>
    <w:rPr>
      <w:lang w:val="en-GB" w:eastAsia="en-US"/>
    </w:rPr>
  </w:style>
  <w:style w:type="character" w:customStyle="1" w:styleId="89">
    <w:name w:val="批注主题 字符"/>
    <w:basedOn w:val="88"/>
    <w:link w:val="31"/>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4"/>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958C969A-B179-44C9-9E61-F8CF0A81168B}">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5</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2025-08-15T03:40:26Z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